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30" w:rsidRDefault="00211F30">
      <w:r>
        <w:rPr>
          <w:noProof/>
          <w:lang w:eastAsia="pl-PL"/>
        </w:rPr>
        <w:drawing>
          <wp:inline distT="0" distB="0" distL="0" distR="0">
            <wp:extent cx="5610860" cy="2733675"/>
            <wp:effectExtent l="19050" t="0" r="2794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972810" cy="2713355"/>
            <wp:effectExtent l="19050" t="0" r="2794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lastRenderedPageBreak/>
        <w:drawing>
          <wp:inline distT="0" distB="0" distL="0" distR="0">
            <wp:extent cx="5972810" cy="2429510"/>
            <wp:effectExtent l="19050" t="0" r="2794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972810" cy="2645410"/>
            <wp:effectExtent l="19050" t="0" r="27940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>
      <w:r w:rsidRPr="00211F30">
        <w:rPr>
          <w:noProof/>
          <w:lang w:eastAsia="pl-PL"/>
        </w:rPr>
        <w:lastRenderedPageBreak/>
        <w:drawing>
          <wp:inline distT="0" distB="0" distL="0" distR="0">
            <wp:extent cx="5760720" cy="3163294"/>
            <wp:effectExtent l="19050" t="0" r="11430" b="0"/>
            <wp:docPr id="2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11F30">
        <w:rPr>
          <w:noProof/>
          <w:lang w:eastAsia="pl-PL"/>
        </w:rPr>
        <w:drawing>
          <wp:inline distT="0" distB="0" distL="0" distR="0">
            <wp:extent cx="5760720" cy="3240482"/>
            <wp:effectExtent l="19050" t="0" r="11430" b="0"/>
            <wp:docPr id="2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F30" w:rsidRDefault="00211F30">
      <w:r w:rsidRPr="00211F30">
        <w:rPr>
          <w:noProof/>
          <w:lang w:eastAsia="pl-PL"/>
        </w:rPr>
        <w:lastRenderedPageBreak/>
        <w:drawing>
          <wp:inline distT="0" distB="0" distL="0" distR="0">
            <wp:extent cx="6115050" cy="2495550"/>
            <wp:effectExtent l="19050" t="0" r="19050" b="0"/>
            <wp:docPr id="1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972810" cy="3162300"/>
            <wp:effectExtent l="19050" t="0" r="2794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lastRenderedPageBreak/>
        <w:drawing>
          <wp:inline distT="0" distB="0" distL="0" distR="0">
            <wp:extent cx="5972810" cy="2419350"/>
            <wp:effectExtent l="19050" t="0" r="2794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829300" cy="2886075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lastRenderedPageBreak/>
        <w:drawing>
          <wp:inline distT="0" distB="0" distL="0" distR="0">
            <wp:extent cx="5800725" cy="3486150"/>
            <wp:effectExtent l="1905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972810" cy="3445510"/>
            <wp:effectExtent l="19050" t="0" r="27940" b="254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>
      <w:r w:rsidRPr="00211F30">
        <w:rPr>
          <w:noProof/>
          <w:lang w:eastAsia="pl-PL"/>
        </w:rPr>
        <w:drawing>
          <wp:inline distT="0" distB="0" distL="0" distR="0">
            <wp:extent cx="4933950" cy="2862262"/>
            <wp:effectExtent l="19050" t="0" r="19050" b="0"/>
            <wp:docPr id="19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drawing>
          <wp:inline distT="0" distB="0" distL="0" distR="0">
            <wp:extent cx="5429251" cy="2986087"/>
            <wp:effectExtent l="19050" t="0" r="19049" b="4763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/>
    <w:p w:rsidR="00211F30" w:rsidRDefault="00211F30">
      <w:r>
        <w:rPr>
          <w:noProof/>
          <w:lang w:eastAsia="pl-PL"/>
        </w:rPr>
        <w:lastRenderedPageBreak/>
        <w:drawing>
          <wp:inline distT="0" distB="0" distL="0" distR="0">
            <wp:extent cx="5457825" cy="3205162"/>
            <wp:effectExtent l="1905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1F30" w:rsidRDefault="00211F30"/>
    <w:p w:rsidR="00211F30" w:rsidRDefault="00211F30"/>
    <w:p w:rsidR="00211F30" w:rsidRDefault="00211F30"/>
    <w:p w:rsidR="00211F30" w:rsidRDefault="00211F30"/>
    <w:p w:rsidR="00832969" w:rsidRDefault="00211F30">
      <w:r>
        <w:rPr>
          <w:noProof/>
          <w:lang w:eastAsia="pl-PL"/>
        </w:rPr>
        <w:drawing>
          <wp:inline distT="0" distB="0" distL="0" distR="0">
            <wp:extent cx="5457825" cy="3152775"/>
            <wp:effectExtent l="1905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32969" w:rsidSect="0083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F30"/>
    <w:rsid w:val="00211F30"/>
    <w:rsid w:val="004C5A89"/>
    <w:rsid w:val="00832969"/>
    <w:rsid w:val="008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YKRESY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baseline="0"/>
              <a:t>zadania zamknięte III A</a:t>
            </a:r>
            <a:endParaRPr lang="pl-PL"/>
          </a:p>
        </c:rich>
      </c:tx>
      <c:layout>
        <c:manualLayout>
          <c:xMode val="edge"/>
          <c:yMode val="edge"/>
          <c:x val="0.30305035839910932"/>
          <c:y val="1.9512195121951223E-2"/>
        </c:manualLayout>
      </c:layout>
    </c:title>
    <c:plotArea>
      <c:layout>
        <c:manualLayout>
          <c:layoutTarget val="inner"/>
          <c:xMode val="edge"/>
          <c:yMode val="edge"/>
          <c:x val="6.901148010793158E-2"/>
          <c:y val="9.4561167658920725E-2"/>
          <c:w val="0.89476894513696847"/>
          <c:h val="0.67921515908072472"/>
        </c:manualLayout>
      </c:layout>
      <c:barChart>
        <c:barDir val="col"/>
        <c:grouping val="clustered"/>
        <c:ser>
          <c:idx val="0"/>
          <c:order val="0"/>
          <c:val>
            <c:numRef>
              <c:f>Arkusz1!$C$3:$C$22</c:f>
              <c:numCache>
                <c:formatCode>General</c:formatCode>
                <c:ptCount val="20"/>
                <c:pt idx="0">
                  <c:v>91</c:v>
                </c:pt>
                <c:pt idx="1">
                  <c:v>64</c:v>
                </c:pt>
                <c:pt idx="2">
                  <c:v>68</c:v>
                </c:pt>
                <c:pt idx="3">
                  <c:v>77</c:v>
                </c:pt>
                <c:pt idx="4">
                  <c:v>100</c:v>
                </c:pt>
                <c:pt idx="5">
                  <c:v>50</c:v>
                </c:pt>
                <c:pt idx="6">
                  <c:v>82</c:v>
                </c:pt>
                <c:pt idx="7">
                  <c:v>77</c:v>
                </c:pt>
                <c:pt idx="8">
                  <c:v>91</c:v>
                </c:pt>
                <c:pt idx="9">
                  <c:v>64</c:v>
                </c:pt>
                <c:pt idx="10">
                  <c:v>50</c:v>
                </c:pt>
                <c:pt idx="11">
                  <c:v>72</c:v>
                </c:pt>
                <c:pt idx="12">
                  <c:v>77</c:v>
                </c:pt>
                <c:pt idx="13">
                  <c:v>82</c:v>
                </c:pt>
                <c:pt idx="14">
                  <c:v>68</c:v>
                </c:pt>
                <c:pt idx="15">
                  <c:v>72</c:v>
                </c:pt>
                <c:pt idx="17">
                  <c:v>59</c:v>
                </c:pt>
                <c:pt idx="18">
                  <c:v>91</c:v>
                </c:pt>
                <c:pt idx="19">
                  <c:v>77</c:v>
                </c:pt>
              </c:numCache>
            </c:numRef>
          </c:val>
        </c:ser>
        <c:gapWidth val="75"/>
        <c:overlap val="-25"/>
        <c:axId val="46625152"/>
        <c:axId val="46626688"/>
      </c:barChart>
      <c:catAx>
        <c:axId val="46625152"/>
        <c:scaling>
          <c:orientation val="minMax"/>
        </c:scaling>
        <c:axPos val="b"/>
        <c:majorTickMark val="none"/>
        <c:tickLblPos val="nextTo"/>
        <c:crossAx val="46626688"/>
        <c:crosses val="autoZero"/>
        <c:auto val="1"/>
        <c:lblAlgn val="ctr"/>
        <c:lblOffset val="100"/>
      </c:catAx>
      <c:valAx>
        <c:axId val="4662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662515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Rozprawka III D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Arkusz1!$C$227:$C$248</c:f>
              <c:numCache>
                <c:formatCode>General</c:formatCode>
                <c:ptCount val="22"/>
                <c:pt idx="0">
                  <c:v>70</c:v>
                </c:pt>
                <c:pt idx="1">
                  <c:v>65</c:v>
                </c:pt>
                <c:pt idx="2">
                  <c:v>82</c:v>
                </c:pt>
                <c:pt idx="3">
                  <c:v>62</c:v>
                </c:pt>
                <c:pt idx="4">
                  <c:v>76</c:v>
                </c:pt>
                <c:pt idx="5">
                  <c:v>47</c:v>
                </c:pt>
                <c:pt idx="6">
                  <c:v>76</c:v>
                </c:pt>
                <c:pt idx="7">
                  <c:v>76</c:v>
                </c:pt>
                <c:pt idx="8">
                  <c:v>88</c:v>
                </c:pt>
                <c:pt idx="9">
                  <c:v>35</c:v>
                </c:pt>
                <c:pt idx="10">
                  <c:v>59</c:v>
                </c:pt>
                <c:pt idx="11">
                  <c:v>79</c:v>
                </c:pt>
                <c:pt idx="12">
                  <c:v>70</c:v>
                </c:pt>
                <c:pt idx="13">
                  <c:v>38</c:v>
                </c:pt>
                <c:pt idx="14">
                  <c:v>35</c:v>
                </c:pt>
                <c:pt idx="15">
                  <c:v>38</c:v>
                </c:pt>
                <c:pt idx="16">
                  <c:v>76</c:v>
                </c:pt>
                <c:pt idx="17">
                  <c:v>62</c:v>
                </c:pt>
                <c:pt idx="18">
                  <c:v>50</c:v>
                </c:pt>
                <c:pt idx="19">
                  <c:v>59</c:v>
                </c:pt>
                <c:pt idx="20">
                  <c:v>79</c:v>
                </c:pt>
                <c:pt idx="21">
                  <c:v>82</c:v>
                </c:pt>
              </c:numCache>
            </c:numRef>
          </c:val>
        </c:ser>
        <c:gapWidth val="75"/>
        <c:overlap val="-25"/>
        <c:axId val="47645056"/>
        <c:axId val="47646592"/>
      </c:barChart>
      <c:catAx>
        <c:axId val="47645056"/>
        <c:scaling>
          <c:orientation val="minMax"/>
        </c:scaling>
        <c:axPos val="b"/>
        <c:majorTickMark val="none"/>
        <c:tickLblPos val="nextTo"/>
        <c:crossAx val="47646592"/>
        <c:crosses val="autoZero"/>
        <c:auto val="1"/>
        <c:lblAlgn val="ctr"/>
        <c:lblOffset val="100"/>
      </c:catAx>
      <c:valAx>
        <c:axId val="47646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6450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Rozprawka III </a:t>
            </a:r>
            <a:r>
              <a:rPr lang="pl-PL"/>
              <a:t>E</a:t>
            </a:r>
            <a:r>
              <a:rPr lang="en-US"/>
              <a:t>
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Arkusz1!$C$251:$C$273</c:f>
              <c:numCache>
                <c:formatCode>General</c:formatCode>
                <c:ptCount val="23"/>
                <c:pt idx="0">
                  <c:v>38</c:v>
                </c:pt>
                <c:pt idx="1">
                  <c:v>47</c:v>
                </c:pt>
                <c:pt idx="2">
                  <c:v>53</c:v>
                </c:pt>
                <c:pt idx="3">
                  <c:v>76</c:v>
                </c:pt>
                <c:pt idx="4">
                  <c:v>70</c:v>
                </c:pt>
                <c:pt idx="5">
                  <c:v>44</c:v>
                </c:pt>
                <c:pt idx="6">
                  <c:v>50</c:v>
                </c:pt>
                <c:pt idx="7">
                  <c:v>59</c:v>
                </c:pt>
                <c:pt idx="8">
                  <c:v>56</c:v>
                </c:pt>
                <c:pt idx="9">
                  <c:v>53</c:v>
                </c:pt>
                <c:pt idx="10">
                  <c:v>68</c:v>
                </c:pt>
                <c:pt idx="11">
                  <c:v>50</c:v>
                </c:pt>
                <c:pt idx="12">
                  <c:v>82</c:v>
                </c:pt>
                <c:pt idx="13">
                  <c:v>82</c:v>
                </c:pt>
                <c:pt idx="14">
                  <c:v>74</c:v>
                </c:pt>
                <c:pt idx="15">
                  <c:v>53</c:v>
                </c:pt>
                <c:pt idx="16">
                  <c:v>70</c:v>
                </c:pt>
                <c:pt idx="17">
                  <c:v>38</c:v>
                </c:pt>
                <c:pt idx="18">
                  <c:v>74</c:v>
                </c:pt>
                <c:pt idx="19">
                  <c:v>76</c:v>
                </c:pt>
                <c:pt idx="20">
                  <c:v>41</c:v>
                </c:pt>
                <c:pt idx="21">
                  <c:v>47</c:v>
                </c:pt>
                <c:pt idx="22">
                  <c:v>68</c:v>
                </c:pt>
              </c:numCache>
            </c:numRef>
          </c:val>
        </c:ser>
        <c:gapWidth val="75"/>
        <c:overlap val="-25"/>
        <c:axId val="47687552"/>
        <c:axId val="47689088"/>
      </c:barChart>
      <c:catAx>
        <c:axId val="47687552"/>
        <c:scaling>
          <c:orientation val="minMax"/>
        </c:scaling>
        <c:axPos val="b"/>
        <c:majorTickMark val="none"/>
        <c:tickLblPos val="nextTo"/>
        <c:crossAx val="47689088"/>
        <c:crosses val="autoZero"/>
        <c:auto val="1"/>
        <c:lblAlgn val="ctr"/>
        <c:lblOffset val="100"/>
      </c:catAx>
      <c:valAx>
        <c:axId val="47689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6875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Rozprawka III F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Arkusz1!$C$276:$C$296</c:f>
              <c:numCache>
                <c:formatCode>General</c:formatCode>
                <c:ptCount val="21"/>
                <c:pt idx="0">
                  <c:v>35</c:v>
                </c:pt>
                <c:pt idx="1">
                  <c:v>41</c:v>
                </c:pt>
                <c:pt idx="2">
                  <c:v>53</c:v>
                </c:pt>
                <c:pt idx="3">
                  <c:v>65</c:v>
                </c:pt>
                <c:pt idx="5">
                  <c:v>65</c:v>
                </c:pt>
                <c:pt idx="6">
                  <c:v>62</c:v>
                </c:pt>
                <c:pt idx="7">
                  <c:v>62</c:v>
                </c:pt>
                <c:pt idx="8">
                  <c:v>26</c:v>
                </c:pt>
                <c:pt idx="9">
                  <c:v>41</c:v>
                </c:pt>
                <c:pt idx="10">
                  <c:v>70</c:v>
                </c:pt>
                <c:pt idx="11">
                  <c:v>70</c:v>
                </c:pt>
                <c:pt idx="12">
                  <c:v>59</c:v>
                </c:pt>
                <c:pt idx="13">
                  <c:v>44</c:v>
                </c:pt>
                <c:pt idx="14">
                  <c:v>68</c:v>
                </c:pt>
                <c:pt idx="15">
                  <c:v>62</c:v>
                </c:pt>
                <c:pt idx="16">
                  <c:v>82</c:v>
                </c:pt>
                <c:pt idx="17">
                  <c:v>38</c:v>
                </c:pt>
                <c:pt idx="18">
                  <c:v>59</c:v>
                </c:pt>
                <c:pt idx="19">
                  <c:v>65</c:v>
                </c:pt>
                <c:pt idx="20">
                  <c:v>29</c:v>
                </c:pt>
              </c:numCache>
            </c:numRef>
          </c:val>
        </c:ser>
        <c:gapWidth val="75"/>
        <c:overlap val="-25"/>
        <c:axId val="47700992"/>
        <c:axId val="47706880"/>
      </c:barChart>
      <c:catAx>
        <c:axId val="47700992"/>
        <c:scaling>
          <c:orientation val="minMax"/>
        </c:scaling>
        <c:axPos val="b"/>
        <c:majorTickMark val="none"/>
        <c:tickLblPos val="nextTo"/>
        <c:crossAx val="47706880"/>
        <c:crosses val="autoZero"/>
        <c:auto val="1"/>
        <c:lblAlgn val="ctr"/>
        <c:lblOffset val="100"/>
      </c:catAx>
      <c:valAx>
        <c:axId val="47706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7009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'[WYKRESY 2011.xlsx]Arkusz1'!$C$302,'[WYKRESY 2011.xlsx]Arkusz1'!$C$303,'[WYKRESY 2011.xlsx]Arkusz1'!$C$304</c:f>
              <c:strCache>
                <c:ptCount val="3"/>
                <c:pt idx="0">
                  <c:v>uczniowie nie opanowali minimum 30% umiejętności </c:v>
                </c:pt>
                <c:pt idx="1">
                  <c:v>uczniowie opanowali umiejetnosci w 70%</c:v>
                </c:pt>
                <c:pt idx="2">
                  <c:v>reszta populacji piszącej 30-69%</c:v>
                </c:pt>
              </c:strCache>
            </c:strRef>
          </c:cat>
          <c:val>
            <c:numRef>
              <c:f>Arkusz1!$H$302:$H$304</c:f>
              <c:numCache>
                <c:formatCode>General</c:formatCode>
                <c:ptCount val="3"/>
                <c:pt idx="0">
                  <c:v>3</c:v>
                </c:pt>
                <c:pt idx="1">
                  <c:v>29</c:v>
                </c:pt>
                <c:pt idx="2">
                  <c:v>58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/>
            </a:pPr>
            <a:r>
              <a:rPr lang="pl-PL"/>
              <a:t>Zadania</a:t>
            </a:r>
            <a:r>
              <a:rPr lang="pl-PL" baseline="0"/>
              <a:t> zamknięte</a:t>
            </a:r>
            <a:endParaRPr lang="pl-PL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Arkusz1!$C$329:$C$334</c:f>
              <c:strCache>
                <c:ptCount val="6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</c:strCache>
            </c:strRef>
          </c:cat>
          <c:val>
            <c:numRef>
              <c:f>Arkusz1!$D$329:$D$334</c:f>
              <c:numCache>
                <c:formatCode>General</c:formatCode>
                <c:ptCount val="6"/>
                <c:pt idx="0">
                  <c:v>78</c:v>
                </c:pt>
                <c:pt idx="1">
                  <c:v>74</c:v>
                </c:pt>
                <c:pt idx="2">
                  <c:v>64</c:v>
                </c:pt>
                <c:pt idx="3">
                  <c:v>76</c:v>
                </c:pt>
                <c:pt idx="4">
                  <c:v>73</c:v>
                </c:pt>
                <c:pt idx="5">
                  <c:v>68</c:v>
                </c:pt>
              </c:numCache>
            </c:numRef>
          </c:val>
        </c:ser>
        <c:axId val="48395392"/>
        <c:axId val="48397312"/>
      </c:barChart>
      <c:catAx>
        <c:axId val="4839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klasa</a:t>
                </a:r>
              </a:p>
            </c:rich>
          </c:tx>
        </c:title>
        <c:majorTickMark val="none"/>
        <c:tickLblPos val="nextTo"/>
        <c:crossAx val="48397312"/>
        <c:crosses val="autoZero"/>
        <c:auto val="1"/>
        <c:lblAlgn val="ctr"/>
        <c:lblOffset val="100"/>
      </c:catAx>
      <c:valAx>
        <c:axId val="48397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 %</a:t>
                </a:r>
              </a:p>
            </c:rich>
          </c:tx>
        </c:title>
        <c:numFmt formatCode="General" sourceLinked="1"/>
        <c:tickLblPos val="nextTo"/>
        <c:crossAx val="48395392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Zadania</a:t>
            </a:r>
            <a:r>
              <a:rPr lang="pl-PL" baseline="0"/>
              <a:t> otwarte - rozprawka</a:t>
            </a:r>
            <a:endParaRPr lang="pl-PL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Arkusz1!$C$351:$C$356</c:f>
              <c:strCache>
                <c:ptCount val="6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</c:strCache>
            </c:strRef>
          </c:cat>
          <c:val>
            <c:numRef>
              <c:f>Arkusz1!$D$351:$D$356</c:f>
              <c:numCache>
                <c:formatCode>General</c:formatCode>
                <c:ptCount val="6"/>
                <c:pt idx="0">
                  <c:v>48</c:v>
                </c:pt>
                <c:pt idx="1">
                  <c:v>41</c:v>
                </c:pt>
                <c:pt idx="2">
                  <c:v>38</c:v>
                </c:pt>
                <c:pt idx="3">
                  <c:v>53</c:v>
                </c:pt>
                <c:pt idx="4">
                  <c:v>41</c:v>
                </c:pt>
                <c:pt idx="5">
                  <c:v>33</c:v>
                </c:pt>
              </c:numCache>
            </c:numRef>
          </c:val>
        </c:ser>
        <c:axId val="48450176"/>
        <c:axId val="48460544"/>
      </c:barChart>
      <c:catAx>
        <c:axId val="48450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klasa</a:t>
                </a:r>
              </a:p>
            </c:rich>
          </c:tx>
          <c:layout/>
        </c:title>
        <c:majorTickMark val="none"/>
        <c:tickLblPos val="nextTo"/>
        <c:crossAx val="48460544"/>
        <c:crosses val="autoZero"/>
        <c:auto val="1"/>
        <c:lblAlgn val="ctr"/>
        <c:lblOffset val="100"/>
      </c:catAx>
      <c:valAx>
        <c:axId val="48460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%</a:t>
                </a:r>
                <a:endParaRPr lang="pl-PL"/>
              </a:p>
            </c:rich>
          </c:tx>
          <c:layout/>
        </c:title>
        <c:numFmt formatCode="General" sourceLinked="1"/>
        <c:tickLblPos val="nextTo"/>
        <c:crossAx val="48450176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Zadania</a:t>
            </a:r>
            <a:r>
              <a:rPr lang="pl-PL" baseline="0"/>
              <a:t> ogółem</a:t>
            </a:r>
            <a:endParaRPr lang="pl-PL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Arkusz1!$C$377:$C$382</c:f>
              <c:strCache>
                <c:ptCount val="6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</c:strCache>
            </c:strRef>
          </c:cat>
          <c:val>
            <c:numRef>
              <c:f>Arkusz1!$D$377:$D$382</c:f>
              <c:numCache>
                <c:formatCode>General</c:formatCode>
                <c:ptCount val="6"/>
                <c:pt idx="0">
                  <c:v>63</c:v>
                </c:pt>
                <c:pt idx="1">
                  <c:v>59</c:v>
                </c:pt>
                <c:pt idx="2">
                  <c:v>53</c:v>
                </c:pt>
                <c:pt idx="3">
                  <c:v>64</c:v>
                </c:pt>
                <c:pt idx="4">
                  <c:v>60</c:v>
                </c:pt>
                <c:pt idx="5">
                  <c:v>55</c:v>
                </c:pt>
              </c:numCache>
            </c:numRef>
          </c:val>
        </c:ser>
        <c:axId val="48484736"/>
        <c:axId val="48486656"/>
      </c:barChart>
      <c:catAx>
        <c:axId val="48484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klasa</a:t>
                </a:r>
              </a:p>
            </c:rich>
          </c:tx>
          <c:layout>
            <c:manualLayout>
              <c:xMode val="edge"/>
              <c:yMode val="edge"/>
              <c:x val="0.49341171811937473"/>
              <c:y val="0.8881918132395713"/>
            </c:manualLayout>
          </c:layout>
        </c:title>
        <c:majorTickMark val="none"/>
        <c:tickLblPos val="nextTo"/>
        <c:crossAx val="48486656"/>
        <c:crosses val="autoZero"/>
        <c:auto val="1"/>
        <c:lblAlgn val="ctr"/>
        <c:lblOffset val="100"/>
      </c:catAx>
      <c:valAx>
        <c:axId val="48486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%</a:t>
                </a:r>
                <a:endParaRPr lang="pl-PL"/>
              </a:p>
            </c:rich>
          </c:tx>
          <c:layout/>
        </c:title>
        <c:numFmt formatCode="General" sourceLinked="1"/>
        <c:tickLblPos val="nextTo"/>
        <c:crossAx val="484847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>
                <a:effectLst/>
              </a:rPr>
              <a:t>zadania zamknięte III B</a:t>
            </a:r>
            <a:endParaRPr lang="pl-PL">
              <a:effectLst/>
            </a:endParaRPr>
          </a:p>
        </c:rich>
      </c:tx>
      <c:layout>
        <c:manualLayout>
          <c:xMode val="edge"/>
          <c:yMode val="edge"/>
          <c:x val="0.30945312435314681"/>
          <c:y val="2.7777787903830564E-2"/>
        </c:manualLayout>
      </c:layout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Arkusz1!$C$28:$C$51</c:f>
              <c:numCache>
                <c:formatCode>General</c:formatCode>
                <c:ptCount val="24"/>
                <c:pt idx="0">
                  <c:v>64</c:v>
                </c:pt>
                <c:pt idx="1">
                  <c:v>100</c:v>
                </c:pt>
                <c:pt idx="2">
                  <c:v>36</c:v>
                </c:pt>
                <c:pt idx="3">
                  <c:v>77</c:v>
                </c:pt>
                <c:pt idx="4">
                  <c:v>54</c:v>
                </c:pt>
                <c:pt idx="5">
                  <c:v>95</c:v>
                </c:pt>
                <c:pt idx="6">
                  <c:v>91</c:v>
                </c:pt>
                <c:pt idx="7">
                  <c:v>95</c:v>
                </c:pt>
                <c:pt idx="8">
                  <c:v>100</c:v>
                </c:pt>
                <c:pt idx="9">
                  <c:v>72</c:v>
                </c:pt>
                <c:pt idx="10">
                  <c:v>100</c:v>
                </c:pt>
                <c:pt idx="11">
                  <c:v>41</c:v>
                </c:pt>
                <c:pt idx="12">
                  <c:v>41</c:v>
                </c:pt>
                <c:pt idx="13">
                  <c:v>77</c:v>
                </c:pt>
                <c:pt idx="14">
                  <c:v>54</c:v>
                </c:pt>
                <c:pt idx="15">
                  <c:v>41</c:v>
                </c:pt>
                <c:pt idx="16">
                  <c:v>86</c:v>
                </c:pt>
                <c:pt idx="17">
                  <c:v>45</c:v>
                </c:pt>
                <c:pt idx="19">
                  <c:v>91</c:v>
                </c:pt>
                <c:pt idx="20">
                  <c:v>72</c:v>
                </c:pt>
                <c:pt idx="21">
                  <c:v>72</c:v>
                </c:pt>
                <c:pt idx="22">
                  <c:v>82</c:v>
                </c:pt>
                <c:pt idx="23">
                  <c:v>64</c:v>
                </c:pt>
              </c:numCache>
            </c:numRef>
          </c:val>
        </c:ser>
        <c:gapWidth val="75"/>
        <c:overlap val="-25"/>
        <c:axId val="46676608"/>
        <c:axId val="46694784"/>
      </c:barChart>
      <c:catAx>
        <c:axId val="46676608"/>
        <c:scaling>
          <c:orientation val="minMax"/>
        </c:scaling>
        <c:axPos val="b"/>
        <c:majorTickMark val="none"/>
        <c:tickLblPos val="nextTo"/>
        <c:crossAx val="46694784"/>
        <c:crosses val="autoZero"/>
        <c:auto val="1"/>
        <c:lblAlgn val="ctr"/>
        <c:lblOffset val="100"/>
      </c:catAx>
      <c:valAx>
        <c:axId val="46694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667660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</a:t>
            </a:r>
            <a:r>
              <a:rPr lang="en-US"/>
              <a:t>adania zamknięte III C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Arkusz1!$C$54:$C$76</c:f>
              <c:numCache>
                <c:formatCode>General</c:formatCode>
                <c:ptCount val="23"/>
                <c:pt idx="0">
                  <c:v>59</c:v>
                </c:pt>
                <c:pt idx="1">
                  <c:v>54</c:v>
                </c:pt>
                <c:pt idx="2">
                  <c:v>54</c:v>
                </c:pt>
                <c:pt idx="4">
                  <c:v>82</c:v>
                </c:pt>
                <c:pt idx="5">
                  <c:v>86</c:v>
                </c:pt>
                <c:pt idx="6">
                  <c:v>50</c:v>
                </c:pt>
                <c:pt idx="7">
                  <c:v>68</c:v>
                </c:pt>
                <c:pt idx="8">
                  <c:v>77</c:v>
                </c:pt>
                <c:pt idx="9">
                  <c:v>68</c:v>
                </c:pt>
                <c:pt idx="10">
                  <c:v>72</c:v>
                </c:pt>
                <c:pt idx="11">
                  <c:v>72</c:v>
                </c:pt>
                <c:pt idx="12">
                  <c:v>59</c:v>
                </c:pt>
                <c:pt idx="13">
                  <c:v>59</c:v>
                </c:pt>
                <c:pt idx="14">
                  <c:v>27</c:v>
                </c:pt>
                <c:pt idx="15">
                  <c:v>86</c:v>
                </c:pt>
                <c:pt idx="16">
                  <c:v>72</c:v>
                </c:pt>
                <c:pt idx="17">
                  <c:v>86</c:v>
                </c:pt>
                <c:pt idx="18">
                  <c:v>50</c:v>
                </c:pt>
                <c:pt idx="19">
                  <c:v>36</c:v>
                </c:pt>
                <c:pt idx="20">
                  <c:v>68</c:v>
                </c:pt>
                <c:pt idx="21">
                  <c:v>64</c:v>
                </c:pt>
                <c:pt idx="22">
                  <c:v>68</c:v>
                </c:pt>
              </c:numCache>
            </c:numRef>
          </c:val>
        </c:ser>
        <c:gapWidth val="75"/>
        <c:overlap val="-25"/>
        <c:axId val="46706688"/>
        <c:axId val="46708224"/>
      </c:barChart>
      <c:catAx>
        <c:axId val="46706688"/>
        <c:scaling>
          <c:orientation val="minMax"/>
        </c:scaling>
        <c:axPos val="b"/>
        <c:majorTickMark val="none"/>
        <c:tickLblPos val="nextTo"/>
        <c:crossAx val="46708224"/>
        <c:crosses val="autoZero"/>
        <c:auto val="1"/>
        <c:lblAlgn val="ctr"/>
        <c:lblOffset val="100"/>
      </c:catAx>
      <c:valAx>
        <c:axId val="46708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670668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</a:t>
            </a:r>
            <a:r>
              <a:rPr lang="en-US"/>
              <a:t>adania zamknięte III </a:t>
            </a:r>
            <a:r>
              <a:rPr lang="pl-PL"/>
              <a:t>D</a:t>
            </a:r>
            <a:r>
              <a:rPr lang="en-US"/>
              <a:t>
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Arkusz1!$C$80:$C$101</c:f>
              <c:numCache>
                <c:formatCode>General</c:formatCode>
                <c:ptCount val="22"/>
                <c:pt idx="0">
                  <c:v>86</c:v>
                </c:pt>
                <c:pt idx="1">
                  <c:v>72</c:v>
                </c:pt>
                <c:pt idx="2">
                  <c:v>82</c:v>
                </c:pt>
                <c:pt idx="3">
                  <c:v>68</c:v>
                </c:pt>
                <c:pt idx="4">
                  <c:v>82</c:v>
                </c:pt>
                <c:pt idx="5">
                  <c:v>50</c:v>
                </c:pt>
                <c:pt idx="6">
                  <c:v>86</c:v>
                </c:pt>
                <c:pt idx="7">
                  <c:v>91</c:v>
                </c:pt>
                <c:pt idx="8">
                  <c:v>86</c:v>
                </c:pt>
                <c:pt idx="9">
                  <c:v>41</c:v>
                </c:pt>
                <c:pt idx="10">
                  <c:v>72</c:v>
                </c:pt>
                <c:pt idx="11">
                  <c:v>95</c:v>
                </c:pt>
                <c:pt idx="12">
                  <c:v>77</c:v>
                </c:pt>
                <c:pt idx="13">
                  <c:v>45</c:v>
                </c:pt>
                <c:pt idx="14">
                  <c:v>41</c:v>
                </c:pt>
                <c:pt idx="15">
                  <c:v>50</c:v>
                </c:pt>
                <c:pt idx="16">
                  <c:v>82</c:v>
                </c:pt>
                <c:pt idx="17">
                  <c:v>72</c:v>
                </c:pt>
                <c:pt idx="18">
                  <c:v>68</c:v>
                </c:pt>
                <c:pt idx="19">
                  <c:v>54</c:v>
                </c:pt>
                <c:pt idx="20">
                  <c:v>86</c:v>
                </c:pt>
                <c:pt idx="21">
                  <c:v>86</c:v>
                </c:pt>
              </c:numCache>
            </c:numRef>
          </c:val>
        </c:ser>
        <c:gapWidth val="75"/>
        <c:overlap val="-25"/>
        <c:axId val="37233792"/>
        <c:axId val="37235328"/>
      </c:barChart>
      <c:catAx>
        <c:axId val="37233792"/>
        <c:scaling>
          <c:orientation val="minMax"/>
        </c:scaling>
        <c:axPos val="b"/>
        <c:majorTickMark val="none"/>
        <c:tickLblPos val="nextTo"/>
        <c:crossAx val="37235328"/>
        <c:crosses val="autoZero"/>
        <c:auto val="1"/>
        <c:lblAlgn val="ctr"/>
        <c:lblOffset val="100"/>
      </c:catAx>
      <c:valAx>
        <c:axId val="37235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23379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</a:t>
            </a:r>
            <a:r>
              <a:rPr lang="en-US"/>
              <a:t>adania zamknięte III E</a:t>
            </a:r>
          </a:p>
        </c:rich>
      </c:tx>
      <c:layout>
        <c:manualLayout>
          <c:xMode val="edge"/>
          <c:yMode val="edge"/>
          <c:x val="0.31760592727841402"/>
          <c:y val="1.6750418760469021E-2"/>
        </c:manualLayout>
      </c:layout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Arkusz1!$C$104:$C$126</c:f>
              <c:numCache>
                <c:formatCode>General</c:formatCode>
                <c:ptCount val="23"/>
                <c:pt idx="0">
                  <c:v>54</c:v>
                </c:pt>
                <c:pt idx="1">
                  <c:v>50</c:v>
                </c:pt>
                <c:pt idx="2">
                  <c:v>68</c:v>
                </c:pt>
                <c:pt idx="3">
                  <c:v>91</c:v>
                </c:pt>
                <c:pt idx="4">
                  <c:v>91</c:v>
                </c:pt>
                <c:pt idx="5">
                  <c:v>59</c:v>
                </c:pt>
                <c:pt idx="6">
                  <c:v>68</c:v>
                </c:pt>
                <c:pt idx="7">
                  <c:v>72</c:v>
                </c:pt>
                <c:pt idx="8">
                  <c:v>64</c:v>
                </c:pt>
                <c:pt idx="9">
                  <c:v>64</c:v>
                </c:pt>
                <c:pt idx="10">
                  <c:v>64</c:v>
                </c:pt>
                <c:pt idx="11">
                  <c:v>72</c:v>
                </c:pt>
                <c:pt idx="12">
                  <c:v>95</c:v>
                </c:pt>
                <c:pt idx="13">
                  <c:v>100</c:v>
                </c:pt>
                <c:pt idx="14">
                  <c:v>82</c:v>
                </c:pt>
                <c:pt idx="15">
                  <c:v>59</c:v>
                </c:pt>
                <c:pt idx="16">
                  <c:v>86</c:v>
                </c:pt>
                <c:pt idx="17">
                  <c:v>59</c:v>
                </c:pt>
                <c:pt idx="18">
                  <c:v>91</c:v>
                </c:pt>
                <c:pt idx="19">
                  <c:v>95</c:v>
                </c:pt>
                <c:pt idx="20">
                  <c:v>50</c:v>
                </c:pt>
                <c:pt idx="21">
                  <c:v>54</c:v>
                </c:pt>
                <c:pt idx="22">
                  <c:v>68</c:v>
                </c:pt>
              </c:numCache>
            </c:numRef>
          </c:val>
        </c:ser>
        <c:gapWidth val="75"/>
        <c:overlap val="-25"/>
        <c:axId val="37275904"/>
        <c:axId val="47513600"/>
      </c:barChart>
      <c:catAx>
        <c:axId val="37275904"/>
        <c:scaling>
          <c:orientation val="minMax"/>
        </c:scaling>
        <c:axPos val="b"/>
        <c:majorTickMark val="none"/>
        <c:tickLblPos val="nextTo"/>
        <c:crossAx val="47513600"/>
        <c:crosses val="autoZero"/>
        <c:auto val="1"/>
        <c:lblAlgn val="ctr"/>
        <c:lblOffset val="100"/>
      </c:catAx>
      <c:valAx>
        <c:axId val="47513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27590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z</a:t>
            </a:r>
            <a:r>
              <a:rPr lang="en-US"/>
              <a:t>adania zamknięte III F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Arkusz1!$C$130:$C$150</c:f>
              <c:numCache>
                <c:formatCode>General</c:formatCode>
                <c:ptCount val="21"/>
                <c:pt idx="0">
                  <c:v>50</c:v>
                </c:pt>
                <c:pt idx="1">
                  <c:v>59</c:v>
                </c:pt>
                <c:pt idx="2">
                  <c:v>68</c:v>
                </c:pt>
                <c:pt idx="3">
                  <c:v>72</c:v>
                </c:pt>
                <c:pt idx="5">
                  <c:v>91</c:v>
                </c:pt>
                <c:pt idx="6">
                  <c:v>72</c:v>
                </c:pt>
                <c:pt idx="7">
                  <c:v>77</c:v>
                </c:pt>
                <c:pt idx="8">
                  <c:v>41</c:v>
                </c:pt>
                <c:pt idx="9">
                  <c:v>50</c:v>
                </c:pt>
                <c:pt idx="10">
                  <c:v>82</c:v>
                </c:pt>
                <c:pt idx="11">
                  <c:v>77</c:v>
                </c:pt>
                <c:pt idx="12">
                  <c:v>68</c:v>
                </c:pt>
                <c:pt idx="13">
                  <c:v>68</c:v>
                </c:pt>
                <c:pt idx="14">
                  <c:v>77</c:v>
                </c:pt>
                <c:pt idx="15">
                  <c:v>64</c:v>
                </c:pt>
                <c:pt idx="16">
                  <c:v>86</c:v>
                </c:pt>
                <c:pt idx="17">
                  <c:v>59</c:v>
                </c:pt>
                <c:pt idx="18">
                  <c:v>68</c:v>
                </c:pt>
                <c:pt idx="19">
                  <c:v>77</c:v>
                </c:pt>
                <c:pt idx="20">
                  <c:v>41</c:v>
                </c:pt>
              </c:numCache>
            </c:numRef>
          </c:val>
        </c:ser>
        <c:gapWidth val="75"/>
        <c:overlap val="-25"/>
        <c:axId val="47533440"/>
        <c:axId val="47539328"/>
      </c:barChart>
      <c:catAx>
        <c:axId val="47533440"/>
        <c:scaling>
          <c:orientation val="minMax"/>
        </c:scaling>
        <c:axPos val="b"/>
        <c:majorTickMark val="none"/>
        <c:tickLblPos val="nextTo"/>
        <c:crossAx val="47539328"/>
        <c:crosses val="autoZero"/>
        <c:auto val="1"/>
        <c:lblAlgn val="ctr"/>
        <c:lblOffset val="100"/>
      </c:catAx>
      <c:valAx>
        <c:axId val="47539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5334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Rozprawka III 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Arkusz1!$C$154:$C$173</c:f>
              <c:numCache>
                <c:formatCode>General</c:formatCode>
                <c:ptCount val="20"/>
                <c:pt idx="0">
                  <c:v>74</c:v>
                </c:pt>
                <c:pt idx="1">
                  <c:v>50</c:v>
                </c:pt>
                <c:pt idx="2">
                  <c:v>56</c:v>
                </c:pt>
                <c:pt idx="3">
                  <c:v>59</c:v>
                </c:pt>
                <c:pt idx="4">
                  <c:v>79</c:v>
                </c:pt>
                <c:pt idx="5">
                  <c:v>41</c:v>
                </c:pt>
                <c:pt idx="6">
                  <c:v>82</c:v>
                </c:pt>
                <c:pt idx="7">
                  <c:v>68</c:v>
                </c:pt>
                <c:pt idx="8">
                  <c:v>70</c:v>
                </c:pt>
                <c:pt idx="9">
                  <c:v>53</c:v>
                </c:pt>
                <c:pt idx="10">
                  <c:v>47</c:v>
                </c:pt>
                <c:pt idx="11">
                  <c:v>68</c:v>
                </c:pt>
                <c:pt idx="12">
                  <c:v>68</c:v>
                </c:pt>
                <c:pt idx="13">
                  <c:v>65</c:v>
                </c:pt>
                <c:pt idx="14">
                  <c:v>56</c:v>
                </c:pt>
                <c:pt idx="15">
                  <c:v>66</c:v>
                </c:pt>
                <c:pt idx="17">
                  <c:v>47</c:v>
                </c:pt>
                <c:pt idx="18">
                  <c:v>85</c:v>
                </c:pt>
                <c:pt idx="19">
                  <c:v>74</c:v>
                </c:pt>
              </c:numCache>
            </c:numRef>
          </c:val>
        </c:ser>
        <c:gapWidth val="75"/>
        <c:overlap val="-25"/>
        <c:axId val="47550848"/>
        <c:axId val="47552384"/>
      </c:barChart>
      <c:catAx>
        <c:axId val="47550848"/>
        <c:scaling>
          <c:orientation val="minMax"/>
        </c:scaling>
        <c:axPos val="b"/>
        <c:majorTickMark val="none"/>
        <c:tickLblPos val="nextTo"/>
        <c:crossAx val="47552384"/>
        <c:crosses val="autoZero"/>
        <c:auto val="1"/>
        <c:lblAlgn val="ctr"/>
        <c:lblOffset val="100"/>
      </c:catAx>
      <c:valAx>
        <c:axId val="47552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5508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Rozprawka III B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Arkusz1!$C$176:$C$199</c:f>
              <c:numCache>
                <c:formatCode>General</c:formatCode>
                <c:ptCount val="24"/>
                <c:pt idx="0">
                  <c:v>47</c:v>
                </c:pt>
                <c:pt idx="1">
                  <c:v>83</c:v>
                </c:pt>
                <c:pt idx="2">
                  <c:v>38</c:v>
                </c:pt>
                <c:pt idx="3">
                  <c:v>73</c:v>
                </c:pt>
                <c:pt idx="4">
                  <c:v>35</c:v>
                </c:pt>
                <c:pt idx="5">
                  <c:v>79</c:v>
                </c:pt>
                <c:pt idx="6">
                  <c:v>70</c:v>
                </c:pt>
                <c:pt idx="7">
                  <c:v>76</c:v>
                </c:pt>
                <c:pt idx="8">
                  <c:v>88</c:v>
                </c:pt>
                <c:pt idx="9">
                  <c:v>62</c:v>
                </c:pt>
                <c:pt idx="10">
                  <c:v>76</c:v>
                </c:pt>
                <c:pt idx="11">
                  <c:v>29</c:v>
                </c:pt>
                <c:pt idx="12">
                  <c:v>26</c:v>
                </c:pt>
                <c:pt idx="13">
                  <c:v>62</c:v>
                </c:pt>
                <c:pt idx="14">
                  <c:v>38</c:v>
                </c:pt>
                <c:pt idx="15">
                  <c:v>35</c:v>
                </c:pt>
                <c:pt idx="16">
                  <c:v>79</c:v>
                </c:pt>
                <c:pt idx="17">
                  <c:v>59</c:v>
                </c:pt>
                <c:pt idx="19">
                  <c:v>68</c:v>
                </c:pt>
                <c:pt idx="20">
                  <c:v>50</c:v>
                </c:pt>
                <c:pt idx="21">
                  <c:v>56</c:v>
                </c:pt>
                <c:pt idx="22">
                  <c:v>56</c:v>
                </c:pt>
                <c:pt idx="23">
                  <c:v>47</c:v>
                </c:pt>
              </c:numCache>
            </c:numRef>
          </c:val>
        </c:ser>
        <c:gapWidth val="75"/>
        <c:overlap val="-25"/>
        <c:axId val="47585152"/>
        <c:axId val="47586688"/>
      </c:barChart>
      <c:catAx>
        <c:axId val="47585152"/>
        <c:scaling>
          <c:orientation val="minMax"/>
        </c:scaling>
        <c:axPos val="b"/>
        <c:majorTickMark val="none"/>
        <c:tickLblPos val="nextTo"/>
        <c:crossAx val="47586688"/>
        <c:crosses val="autoZero"/>
        <c:auto val="1"/>
        <c:lblAlgn val="ctr"/>
        <c:lblOffset val="100"/>
      </c:catAx>
      <c:valAx>
        <c:axId val="4758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5851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Rozprawka III C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val>
            <c:numRef>
              <c:f>Arkusz1!$C$202:$C$224</c:f>
              <c:numCache>
                <c:formatCode>General</c:formatCode>
                <c:ptCount val="23"/>
                <c:pt idx="0">
                  <c:v>53</c:v>
                </c:pt>
                <c:pt idx="1">
                  <c:v>47</c:v>
                </c:pt>
                <c:pt idx="2">
                  <c:v>53</c:v>
                </c:pt>
                <c:pt idx="4">
                  <c:v>74</c:v>
                </c:pt>
                <c:pt idx="5">
                  <c:v>76</c:v>
                </c:pt>
                <c:pt idx="6">
                  <c:v>44</c:v>
                </c:pt>
                <c:pt idx="7">
                  <c:v>53</c:v>
                </c:pt>
                <c:pt idx="8">
                  <c:v>62</c:v>
                </c:pt>
                <c:pt idx="9">
                  <c:v>53</c:v>
                </c:pt>
                <c:pt idx="10">
                  <c:v>50</c:v>
                </c:pt>
                <c:pt idx="11">
                  <c:v>65</c:v>
                </c:pt>
                <c:pt idx="12">
                  <c:v>44</c:v>
                </c:pt>
                <c:pt idx="13">
                  <c:v>44</c:v>
                </c:pt>
                <c:pt idx="14">
                  <c:v>20</c:v>
                </c:pt>
                <c:pt idx="15">
                  <c:v>68</c:v>
                </c:pt>
                <c:pt idx="16">
                  <c:v>53</c:v>
                </c:pt>
                <c:pt idx="17">
                  <c:v>68</c:v>
                </c:pt>
                <c:pt idx="18">
                  <c:v>41</c:v>
                </c:pt>
                <c:pt idx="19">
                  <c:v>29</c:v>
                </c:pt>
                <c:pt idx="20">
                  <c:v>56</c:v>
                </c:pt>
                <c:pt idx="21">
                  <c:v>56</c:v>
                </c:pt>
                <c:pt idx="22">
                  <c:v>56</c:v>
                </c:pt>
              </c:numCache>
            </c:numRef>
          </c:val>
        </c:ser>
        <c:gapWidth val="75"/>
        <c:overlap val="-25"/>
        <c:axId val="47606784"/>
        <c:axId val="47616768"/>
      </c:barChart>
      <c:catAx>
        <c:axId val="47606784"/>
        <c:scaling>
          <c:orientation val="minMax"/>
        </c:scaling>
        <c:axPos val="b"/>
        <c:majorTickMark val="none"/>
        <c:tickLblPos val="nextTo"/>
        <c:crossAx val="47616768"/>
        <c:crosses val="autoZero"/>
        <c:auto val="1"/>
        <c:lblAlgn val="ctr"/>
        <c:lblOffset val="100"/>
      </c:catAx>
      <c:valAx>
        <c:axId val="47616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76067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Robert</cp:lastModifiedBy>
  <cp:revision>2</cp:revision>
  <cp:lastPrinted>2012-01-13T08:28:00Z</cp:lastPrinted>
  <dcterms:created xsi:type="dcterms:W3CDTF">2012-01-19T07:06:00Z</dcterms:created>
  <dcterms:modified xsi:type="dcterms:W3CDTF">2012-01-19T07:06:00Z</dcterms:modified>
</cp:coreProperties>
</file>